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F49A" w14:textId="77777777" w:rsidR="00A43A5F" w:rsidRDefault="00A43A5F">
      <w:pPr>
        <w:jc w:val="center"/>
        <w:rPr>
          <w:sz w:val="30"/>
          <w:szCs w:val="30"/>
        </w:rPr>
      </w:pPr>
    </w:p>
    <w:p w14:paraId="7CB286C4" w14:textId="77777777" w:rsidR="00A43A5F" w:rsidRDefault="00000000">
      <w:pPr>
        <w:jc w:val="center"/>
      </w:pPr>
      <w:r>
        <w:rPr>
          <w:sz w:val="30"/>
          <w:szCs w:val="30"/>
        </w:rPr>
        <w:t xml:space="preserve"> Flood Risk of Domestic Properties in Mill Street, Elsing, Dereham </w:t>
      </w:r>
      <w:r>
        <w:t>(December 2025)</w:t>
      </w:r>
    </w:p>
    <w:p w14:paraId="67E910B3" w14:textId="77777777" w:rsidR="00A43A5F" w:rsidRDefault="00A43A5F">
      <w:pPr>
        <w:jc w:val="center"/>
        <w:rPr>
          <w:sz w:val="30"/>
          <w:szCs w:val="30"/>
        </w:rPr>
      </w:pPr>
    </w:p>
    <w:p w14:paraId="73329AD6" w14:textId="77777777" w:rsidR="00A43A5F" w:rsidRDefault="00000000">
      <w:pPr>
        <w:rPr>
          <w:sz w:val="21"/>
          <w:szCs w:val="21"/>
        </w:rPr>
      </w:pPr>
      <w:r>
        <w:rPr>
          <w:sz w:val="21"/>
          <w:szCs w:val="21"/>
        </w:rPr>
        <w:t xml:space="preserve">The purpose of assembling this data is for Elsing Parish Council to ascertain, through consultation with the Water Management Alliance, Kings Lynn, whether any practical steps may be taken to reduce the flood risk to certain residents from the River Wensum. </w:t>
      </w:r>
    </w:p>
    <w:p w14:paraId="776AEE96" w14:textId="77777777" w:rsidR="00A43A5F" w:rsidRDefault="00000000">
      <w:pPr>
        <w:rPr>
          <w:sz w:val="21"/>
          <w:szCs w:val="21"/>
        </w:rPr>
      </w:pPr>
      <w:r>
        <w:rPr>
          <w:sz w:val="21"/>
          <w:szCs w:val="21"/>
        </w:rPr>
        <w:t>Details (in metres) of the properties most at risk are as follows:</w:t>
      </w:r>
    </w:p>
    <w:p w14:paraId="5C4FF198" w14:textId="77777777" w:rsidR="00A43A5F" w:rsidRDefault="00A43A5F">
      <w:pPr>
        <w:rPr>
          <w:sz w:val="21"/>
          <w:szCs w:val="21"/>
        </w:rPr>
      </w:pPr>
    </w:p>
    <w:tbl>
      <w:tblPr>
        <w:tblW w:w="12930" w:type="dxa"/>
        <w:tblInd w:w="271" w:type="dxa"/>
        <w:tblLayout w:type="fixed"/>
        <w:tblCellMar>
          <w:top w:w="55" w:type="dxa"/>
          <w:left w:w="55" w:type="dxa"/>
          <w:bottom w:w="55" w:type="dxa"/>
          <w:right w:w="55" w:type="dxa"/>
        </w:tblCellMar>
        <w:tblLook w:val="04A0" w:firstRow="1" w:lastRow="0" w:firstColumn="1" w:lastColumn="0" w:noHBand="0" w:noVBand="1"/>
      </w:tblPr>
      <w:tblGrid>
        <w:gridCol w:w="2701"/>
        <w:gridCol w:w="1641"/>
        <w:gridCol w:w="2194"/>
        <w:gridCol w:w="3178"/>
        <w:gridCol w:w="3086"/>
        <w:gridCol w:w="130"/>
      </w:tblGrid>
      <w:tr w:rsidR="00A43A5F" w14:paraId="671AE37C" w14:textId="77777777">
        <w:tc>
          <w:tcPr>
            <w:tcW w:w="2715" w:type="dxa"/>
            <w:tcBorders>
              <w:top w:val="single" w:sz="4" w:space="0" w:color="000000"/>
              <w:left w:val="single" w:sz="4" w:space="0" w:color="000000"/>
              <w:bottom w:val="single" w:sz="4" w:space="0" w:color="000000"/>
            </w:tcBorders>
          </w:tcPr>
          <w:p w14:paraId="01F42CDD" w14:textId="77777777" w:rsidR="00A43A5F" w:rsidRDefault="00000000">
            <w:pPr>
              <w:pStyle w:val="TableContents"/>
              <w:jc w:val="center"/>
              <w:rPr>
                <w:sz w:val="18"/>
                <w:szCs w:val="18"/>
              </w:rPr>
            </w:pPr>
            <w:r>
              <w:rPr>
                <w:color w:val="000000"/>
                <w:sz w:val="18"/>
                <w:szCs w:val="18"/>
              </w:rPr>
              <w:t>HOUSE NAME</w:t>
            </w:r>
          </w:p>
        </w:tc>
        <w:tc>
          <w:tcPr>
            <w:tcW w:w="1650" w:type="dxa"/>
            <w:tcBorders>
              <w:top w:val="single" w:sz="4" w:space="0" w:color="000000"/>
              <w:left w:val="single" w:sz="4" w:space="0" w:color="000000"/>
              <w:bottom w:val="single" w:sz="4" w:space="0" w:color="000000"/>
            </w:tcBorders>
          </w:tcPr>
          <w:p w14:paraId="0F69C932" w14:textId="77777777" w:rsidR="00A43A5F" w:rsidRDefault="00000000">
            <w:pPr>
              <w:pStyle w:val="TableContents"/>
              <w:jc w:val="center"/>
              <w:rPr>
                <w:sz w:val="18"/>
                <w:szCs w:val="18"/>
              </w:rPr>
            </w:pPr>
            <w:r>
              <w:rPr>
                <w:color w:val="000000"/>
                <w:sz w:val="18"/>
                <w:szCs w:val="18"/>
              </w:rPr>
              <w:t>POSTCODE</w:t>
            </w:r>
          </w:p>
        </w:tc>
        <w:tc>
          <w:tcPr>
            <w:tcW w:w="2206" w:type="dxa"/>
            <w:tcBorders>
              <w:top w:val="single" w:sz="4" w:space="0" w:color="000000"/>
              <w:left w:val="single" w:sz="4" w:space="0" w:color="000000"/>
              <w:bottom w:val="single" w:sz="4" w:space="0" w:color="000000"/>
            </w:tcBorders>
          </w:tcPr>
          <w:p w14:paraId="68582B67" w14:textId="77777777" w:rsidR="00A43A5F" w:rsidRDefault="00000000">
            <w:pPr>
              <w:pStyle w:val="TableContents"/>
              <w:jc w:val="center"/>
              <w:rPr>
                <w:sz w:val="18"/>
                <w:szCs w:val="18"/>
              </w:rPr>
            </w:pPr>
            <w:r>
              <w:rPr>
                <w:color w:val="000000"/>
                <w:sz w:val="18"/>
                <w:szCs w:val="18"/>
              </w:rPr>
              <w:t>ALTITUDE (HOUSE)</w:t>
            </w:r>
          </w:p>
        </w:tc>
        <w:tc>
          <w:tcPr>
            <w:tcW w:w="3196" w:type="dxa"/>
            <w:tcBorders>
              <w:top w:val="single" w:sz="4" w:space="0" w:color="000000"/>
              <w:left w:val="single" w:sz="4" w:space="0" w:color="000000"/>
              <w:bottom w:val="single" w:sz="4" w:space="0" w:color="000000"/>
            </w:tcBorders>
          </w:tcPr>
          <w:p w14:paraId="1985EDA8" w14:textId="77777777" w:rsidR="00A43A5F" w:rsidRDefault="00000000">
            <w:pPr>
              <w:pStyle w:val="TableContents"/>
              <w:jc w:val="center"/>
              <w:rPr>
                <w:sz w:val="18"/>
                <w:szCs w:val="18"/>
              </w:rPr>
            </w:pPr>
            <w:r>
              <w:rPr>
                <w:color w:val="000000"/>
                <w:sz w:val="18"/>
                <w:szCs w:val="18"/>
              </w:rPr>
              <w:t>ALTITUDE (R WENSUM SURFACE)</w:t>
            </w:r>
          </w:p>
        </w:tc>
        <w:tc>
          <w:tcPr>
            <w:tcW w:w="3103" w:type="dxa"/>
            <w:tcBorders>
              <w:top w:val="single" w:sz="4" w:space="0" w:color="000000"/>
              <w:left w:val="single" w:sz="4" w:space="0" w:color="000000"/>
              <w:bottom w:val="single" w:sz="4" w:space="0" w:color="000000"/>
            </w:tcBorders>
          </w:tcPr>
          <w:p w14:paraId="41FAF456" w14:textId="77777777" w:rsidR="00A43A5F" w:rsidRDefault="00000000">
            <w:pPr>
              <w:pStyle w:val="TableContents"/>
              <w:jc w:val="center"/>
              <w:rPr>
                <w:sz w:val="18"/>
                <w:szCs w:val="18"/>
              </w:rPr>
            </w:pPr>
            <w:r>
              <w:rPr>
                <w:color w:val="000000"/>
                <w:sz w:val="18"/>
                <w:szCs w:val="18"/>
              </w:rPr>
              <w:t>NOTE</w:t>
            </w:r>
          </w:p>
        </w:tc>
        <w:tc>
          <w:tcPr>
            <w:tcW w:w="59" w:type="dxa"/>
            <w:tcBorders>
              <w:top w:val="single" w:sz="4" w:space="0" w:color="000000"/>
              <w:left w:val="single" w:sz="4" w:space="0" w:color="000000"/>
              <w:bottom w:val="single" w:sz="4" w:space="0" w:color="000000"/>
              <w:right w:val="single" w:sz="4" w:space="0" w:color="000000"/>
            </w:tcBorders>
          </w:tcPr>
          <w:p w14:paraId="537C6AD2" w14:textId="77777777" w:rsidR="00A43A5F" w:rsidRDefault="00A43A5F">
            <w:pPr>
              <w:pStyle w:val="TableContents"/>
              <w:jc w:val="center"/>
              <w:rPr>
                <w:sz w:val="18"/>
                <w:szCs w:val="18"/>
              </w:rPr>
            </w:pPr>
          </w:p>
        </w:tc>
      </w:tr>
      <w:tr w:rsidR="00A43A5F" w14:paraId="29C309BC" w14:textId="77777777">
        <w:trPr>
          <w:trHeight w:val="279"/>
        </w:trPr>
        <w:tc>
          <w:tcPr>
            <w:tcW w:w="2715" w:type="dxa"/>
            <w:tcBorders>
              <w:left w:val="single" w:sz="4" w:space="0" w:color="000000"/>
              <w:bottom w:val="single" w:sz="4" w:space="0" w:color="000000"/>
            </w:tcBorders>
          </w:tcPr>
          <w:p w14:paraId="0D960D27" w14:textId="77777777" w:rsidR="00A43A5F" w:rsidRDefault="00000000">
            <w:pPr>
              <w:pStyle w:val="TableContents"/>
              <w:rPr>
                <w:sz w:val="18"/>
                <w:szCs w:val="18"/>
              </w:rPr>
            </w:pPr>
            <w:r>
              <w:rPr>
                <w:color w:val="000000"/>
                <w:sz w:val="18"/>
                <w:szCs w:val="18"/>
              </w:rPr>
              <w:t>Mill Farm Annexe*</w:t>
            </w:r>
          </w:p>
        </w:tc>
        <w:tc>
          <w:tcPr>
            <w:tcW w:w="1650" w:type="dxa"/>
            <w:tcBorders>
              <w:left w:val="single" w:sz="4" w:space="0" w:color="000000"/>
              <w:bottom w:val="single" w:sz="4" w:space="0" w:color="000000"/>
            </w:tcBorders>
          </w:tcPr>
          <w:p w14:paraId="5083435F" w14:textId="77777777" w:rsidR="00A43A5F" w:rsidRDefault="00000000">
            <w:pPr>
              <w:pStyle w:val="TableContents"/>
              <w:jc w:val="center"/>
              <w:rPr>
                <w:sz w:val="18"/>
                <w:szCs w:val="18"/>
              </w:rPr>
            </w:pPr>
            <w:r>
              <w:rPr>
                <w:color w:val="000000"/>
                <w:sz w:val="18"/>
                <w:szCs w:val="18"/>
              </w:rPr>
              <w:t>NR20 3EJ</w:t>
            </w:r>
          </w:p>
        </w:tc>
        <w:tc>
          <w:tcPr>
            <w:tcW w:w="2206" w:type="dxa"/>
            <w:tcBorders>
              <w:left w:val="single" w:sz="4" w:space="0" w:color="000000"/>
              <w:bottom w:val="single" w:sz="4" w:space="0" w:color="000000"/>
            </w:tcBorders>
          </w:tcPr>
          <w:p w14:paraId="56BC61D0" w14:textId="77777777" w:rsidR="00A43A5F" w:rsidRDefault="00000000">
            <w:pPr>
              <w:pStyle w:val="TableContents"/>
              <w:jc w:val="center"/>
              <w:rPr>
                <w:sz w:val="18"/>
                <w:szCs w:val="18"/>
              </w:rPr>
            </w:pPr>
            <w:r>
              <w:rPr>
                <w:color w:val="000000"/>
                <w:sz w:val="18"/>
                <w:szCs w:val="18"/>
              </w:rPr>
              <w:t>21</w:t>
            </w:r>
          </w:p>
        </w:tc>
        <w:tc>
          <w:tcPr>
            <w:tcW w:w="3196" w:type="dxa"/>
            <w:tcBorders>
              <w:left w:val="single" w:sz="4" w:space="0" w:color="000000"/>
              <w:bottom w:val="single" w:sz="4" w:space="0" w:color="000000"/>
            </w:tcBorders>
          </w:tcPr>
          <w:p w14:paraId="14013B49" w14:textId="77777777" w:rsidR="00A43A5F" w:rsidRDefault="00000000">
            <w:pPr>
              <w:pStyle w:val="TableContents"/>
              <w:jc w:val="center"/>
              <w:rPr>
                <w:sz w:val="18"/>
                <w:szCs w:val="18"/>
              </w:rPr>
            </w:pPr>
            <w:r>
              <w:rPr>
                <w:color w:val="000000"/>
                <w:sz w:val="18"/>
                <w:szCs w:val="18"/>
              </w:rPr>
              <w:t>18</w:t>
            </w:r>
          </w:p>
        </w:tc>
        <w:tc>
          <w:tcPr>
            <w:tcW w:w="3103" w:type="dxa"/>
            <w:vMerge w:val="restart"/>
            <w:tcBorders>
              <w:left w:val="single" w:sz="4" w:space="0" w:color="000000"/>
              <w:bottom w:val="single" w:sz="4" w:space="0" w:color="000000"/>
            </w:tcBorders>
          </w:tcPr>
          <w:p w14:paraId="0E4C2761" w14:textId="77777777" w:rsidR="00A43A5F" w:rsidRDefault="00000000">
            <w:pPr>
              <w:pStyle w:val="TableContents"/>
              <w:jc w:val="center"/>
              <w:rPr>
                <w:sz w:val="18"/>
                <w:szCs w:val="18"/>
              </w:rPr>
            </w:pPr>
            <w:r>
              <w:rPr>
                <w:color w:val="000000"/>
                <w:sz w:val="18"/>
                <w:szCs w:val="18"/>
              </w:rPr>
              <w:t>River Wensum water level varies, but 0.6 metres is average. The highest recent peak was 1.1 metres in 1993. Levels on the map used here are dated 18 /4 / 25. Is this average? Probably.  There are no figures for April, the date of the map.</w:t>
            </w:r>
          </w:p>
          <w:p w14:paraId="1A8F6F22" w14:textId="77777777" w:rsidR="00A43A5F" w:rsidRDefault="00000000">
            <w:pPr>
              <w:pStyle w:val="TableContents"/>
              <w:jc w:val="center"/>
              <w:rPr>
                <w:sz w:val="18"/>
                <w:szCs w:val="18"/>
              </w:rPr>
            </w:pPr>
            <w:r>
              <w:rPr>
                <w:color w:val="000000"/>
                <w:sz w:val="18"/>
                <w:szCs w:val="18"/>
              </w:rPr>
              <w:t xml:space="preserve"> But for 2025 there was ‘normal’ flooding in January, and by March the level was 70% of average. So the figures in the column on the left are probably not unusual.</w:t>
            </w:r>
          </w:p>
        </w:tc>
        <w:tc>
          <w:tcPr>
            <w:tcW w:w="59" w:type="dxa"/>
            <w:tcBorders>
              <w:left w:val="single" w:sz="4" w:space="0" w:color="000000"/>
              <w:bottom w:val="single" w:sz="4" w:space="0" w:color="000000"/>
              <w:right w:val="single" w:sz="4" w:space="0" w:color="000000"/>
            </w:tcBorders>
          </w:tcPr>
          <w:p w14:paraId="0BA73C5A" w14:textId="77777777" w:rsidR="00A43A5F" w:rsidRDefault="00A43A5F">
            <w:pPr>
              <w:pStyle w:val="TableContents"/>
              <w:jc w:val="center"/>
              <w:rPr>
                <w:sz w:val="18"/>
                <w:szCs w:val="18"/>
              </w:rPr>
            </w:pPr>
          </w:p>
        </w:tc>
      </w:tr>
      <w:tr w:rsidR="00A43A5F" w14:paraId="26D5B440" w14:textId="77777777">
        <w:tc>
          <w:tcPr>
            <w:tcW w:w="2715" w:type="dxa"/>
            <w:tcBorders>
              <w:left w:val="single" w:sz="4" w:space="0" w:color="000000"/>
              <w:bottom w:val="single" w:sz="4" w:space="0" w:color="000000"/>
            </w:tcBorders>
          </w:tcPr>
          <w:p w14:paraId="3A593E40" w14:textId="77777777" w:rsidR="00A43A5F" w:rsidRDefault="00000000">
            <w:pPr>
              <w:pStyle w:val="TableContents"/>
              <w:rPr>
                <w:sz w:val="18"/>
                <w:szCs w:val="18"/>
              </w:rPr>
            </w:pPr>
            <w:r>
              <w:rPr>
                <w:color w:val="000000"/>
                <w:sz w:val="18"/>
                <w:szCs w:val="18"/>
              </w:rPr>
              <w:t>Elsing Mill</w:t>
            </w:r>
          </w:p>
        </w:tc>
        <w:tc>
          <w:tcPr>
            <w:tcW w:w="1650" w:type="dxa"/>
            <w:tcBorders>
              <w:left w:val="single" w:sz="4" w:space="0" w:color="000000"/>
              <w:bottom w:val="single" w:sz="4" w:space="0" w:color="000000"/>
            </w:tcBorders>
          </w:tcPr>
          <w:p w14:paraId="0CB5E5A2" w14:textId="77777777" w:rsidR="00A43A5F" w:rsidRDefault="00000000">
            <w:pPr>
              <w:pStyle w:val="TableContents"/>
              <w:jc w:val="center"/>
              <w:rPr>
                <w:sz w:val="18"/>
                <w:szCs w:val="18"/>
              </w:rPr>
            </w:pPr>
            <w:r>
              <w:rPr>
                <w:color w:val="000000"/>
                <w:sz w:val="18"/>
                <w:szCs w:val="18"/>
              </w:rPr>
              <w:t>NE20 3EJ</w:t>
            </w:r>
          </w:p>
        </w:tc>
        <w:tc>
          <w:tcPr>
            <w:tcW w:w="2206" w:type="dxa"/>
            <w:tcBorders>
              <w:left w:val="single" w:sz="4" w:space="0" w:color="000000"/>
              <w:bottom w:val="single" w:sz="4" w:space="0" w:color="000000"/>
            </w:tcBorders>
          </w:tcPr>
          <w:p w14:paraId="39373D29" w14:textId="77777777" w:rsidR="00A43A5F" w:rsidRDefault="00000000">
            <w:pPr>
              <w:pStyle w:val="TableContents"/>
              <w:jc w:val="center"/>
              <w:rPr>
                <w:sz w:val="18"/>
                <w:szCs w:val="18"/>
              </w:rPr>
            </w:pPr>
            <w:r>
              <w:rPr>
                <w:color w:val="000000"/>
                <w:sz w:val="18"/>
                <w:szCs w:val="18"/>
              </w:rPr>
              <w:t>20</w:t>
            </w:r>
          </w:p>
        </w:tc>
        <w:tc>
          <w:tcPr>
            <w:tcW w:w="3196" w:type="dxa"/>
            <w:tcBorders>
              <w:left w:val="single" w:sz="4" w:space="0" w:color="000000"/>
              <w:bottom w:val="single" w:sz="4" w:space="0" w:color="000000"/>
            </w:tcBorders>
          </w:tcPr>
          <w:p w14:paraId="17322869"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7A4507CD"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45494480" w14:textId="77777777" w:rsidR="00A43A5F" w:rsidRDefault="00A43A5F">
            <w:pPr>
              <w:pStyle w:val="TableContents"/>
              <w:jc w:val="center"/>
              <w:rPr>
                <w:sz w:val="18"/>
                <w:szCs w:val="18"/>
              </w:rPr>
            </w:pPr>
          </w:p>
        </w:tc>
      </w:tr>
      <w:tr w:rsidR="00A43A5F" w14:paraId="751B5D37" w14:textId="77777777">
        <w:tc>
          <w:tcPr>
            <w:tcW w:w="2715" w:type="dxa"/>
            <w:tcBorders>
              <w:left w:val="single" w:sz="4" w:space="0" w:color="000000"/>
              <w:bottom w:val="single" w:sz="4" w:space="0" w:color="000000"/>
            </w:tcBorders>
          </w:tcPr>
          <w:p w14:paraId="6F70B53E" w14:textId="77777777" w:rsidR="00A43A5F" w:rsidRDefault="00000000">
            <w:pPr>
              <w:pStyle w:val="TableContents"/>
              <w:rPr>
                <w:sz w:val="18"/>
                <w:szCs w:val="18"/>
              </w:rPr>
            </w:pPr>
            <w:r>
              <w:rPr>
                <w:color w:val="000000"/>
                <w:sz w:val="18"/>
                <w:szCs w:val="18"/>
              </w:rPr>
              <w:t>Marsh Cottage (not on map)</w:t>
            </w:r>
          </w:p>
        </w:tc>
        <w:tc>
          <w:tcPr>
            <w:tcW w:w="1650" w:type="dxa"/>
            <w:tcBorders>
              <w:left w:val="single" w:sz="4" w:space="0" w:color="000000"/>
              <w:bottom w:val="single" w:sz="4" w:space="0" w:color="000000"/>
            </w:tcBorders>
          </w:tcPr>
          <w:p w14:paraId="51E5FBFD" w14:textId="77777777" w:rsidR="00A43A5F" w:rsidRDefault="00000000">
            <w:pPr>
              <w:pStyle w:val="TableContents"/>
              <w:jc w:val="center"/>
              <w:rPr>
                <w:sz w:val="18"/>
                <w:szCs w:val="18"/>
              </w:rPr>
            </w:pPr>
            <w:r>
              <w:rPr>
                <w:color w:val="000000"/>
                <w:sz w:val="18"/>
                <w:szCs w:val="18"/>
              </w:rPr>
              <w:t>NR20 4JS</w:t>
            </w:r>
          </w:p>
        </w:tc>
        <w:tc>
          <w:tcPr>
            <w:tcW w:w="2206" w:type="dxa"/>
            <w:tcBorders>
              <w:left w:val="single" w:sz="4" w:space="0" w:color="000000"/>
              <w:bottom w:val="single" w:sz="4" w:space="0" w:color="000000"/>
            </w:tcBorders>
          </w:tcPr>
          <w:p w14:paraId="7F010B79" w14:textId="77777777" w:rsidR="00A43A5F" w:rsidRDefault="00000000">
            <w:pPr>
              <w:pStyle w:val="TableContents"/>
              <w:jc w:val="center"/>
              <w:rPr>
                <w:sz w:val="18"/>
                <w:szCs w:val="18"/>
              </w:rPr>
            </w:pPr>
            <w:r>
              <w:rPr>
                <w:color w:val="000000"/>
                <w:sz w:val="18"/>
                <w:szCs w:val="18"/>
              </w:rPr>
              <w:t>19</w:t>
            </w:r>
          </w:p>
        </w:tc>
        <w:tc>
          <w:tcPr>
            <w:tcW w:w="3196" w:type="dxa"/>
            <w:tcBorders>
              <w:left w:val="single" w:sz="4" w:space="0" w:color="000000"/>
              <w:bottom w:val="single" w:sz="4" w:space="0" w:color="000000"/>
            </w:tcBorders>
          </w:tcPr>
          <w:p w14:paraId="662216BE"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44CF658B"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63775C43" w14:textId="77777777" w:rsidR="00A43A5F" w:rsidRDefault="00A43A5F">
            <w:pPr>
              <w:pStyle w:val="TableContents"/>
              <w:jc w:val="center"/>
              <w:rPr>
                <w:sz w:val="18"/>
                <w:szCs w:val="18"/>
              </w:rPr>
            </w:pPr>
          </w:p>
        </w:tc>
      </w:tr>
      <w:tr w:rsidR="00A43A5F" w14:paraId="4AD9E5B1" w14:textId="77777777">
        <w:tc>
          <w:tcPr>
            <w:tcW w:w="2715" w:type="dxa"/>
            <w:tcBorders>
              <w:left w:val="single" w:sz="4" w:space="0" w:color="000000"/>
              <w:bottom w:val="single" w:sz="4" w:space="0" w:color="000000"/>
            </w:tcBorders>
          </w:tcPr>
          <w:p w14:paraId="35D3EFE2" w14:textId="77777777" w:rsidR="00A43A5F" w:rsidRDefault="00000000">
            <w:pPr>
              <w:pStyle w:val="TableContents"/>
              <w:rPr>
                <w:sz w:val="18"/>
                <w:szCs w:val="18"/>
              </w:rPr>
            </w:pPr>
            <w:r>
              <w:rPr>
                <w:color w:val="000000"/>
                <w:sz w:val="18"/>
                <w:szCs w:val="18"/>
              </w:rPr>
              <w:t>Willow Mead</w:t>
            </w:r>
          </w:p>
        </w:tc>
        <w:tc>
          <w:tcPr>
            <w:tcW w:w="1650" w:type="dxa"/>
            <w:tcBorders>
              <w:left w:val="single" w:sz="4" w:space="0" w:color="000000"/>
              <w:bottom w:val="single" w:sz="4" w:space="0" w:color="000000"/>
            </w:tcBorders>
          </w:tcPr>
          <w:p w14:paraId="1EA66FF8" w14:textId="77777777" w:rsidR="00A43A5F" w:rsidRDefault="00000000">
            <w:pPr>
              <w:pStyle w:val="TableContents"/>
              <w:jc w:val="center"/>
              <w:rPr>
                <w:sz w:val="18"/>
                <w:szCs w:val="18"/>
              </w:rPr>
            </w:pPr>
            <w:r>
              <w:rPr>
                <w:color w:val="000000"/>
                <w:sz w:val="18"/>
                <w:szCs w:val="18"/>
              </w:rPr>
              <w:t>NR20 3EH</w:t>
            </w:r>
          </w:p>
        </w:tc>
        <w:tc>
          <w:tcPr>
            <w:tcW w:w="2206" w:type="dxa"/>
            <w:tcBorders>
              <w:left w:val="single" w:sz="4" w:space="0" w:color="000000"/>
              <w:bottom w:val="single" w:sz="4" w:space="0" w:color="000000"/>
            </w:tcBorders>
          </w:tcPr>
          <w:p w14:paraId="72223FC7" w14:textId="77777777" w:rsidR="00A43A5F" w:rsidRDefault="00000000">
            <w:pPr>
              <w:pStyle w:val="TableContents"/>
              <w:jc w:val="center"/>
              <w:rPr>
                <w:sz w:val="18"/>
                <w:szCs w:val="18"/>
              </w:rPr>
            </w:pPr>
            <w:r>
              <w:rPr>
                <w:color w:val="000000"/>
                <w:sz w:val="18"/>
                <w:szCs w:val="18"/>
              </w:rPr>
              <w:t>19</w:t>
            </w:r>
          </w:p>
        </w:tc>
        <w:tc>
          <w:tcPr>
            <w:tcW w:w="3196" w:type="dxa"/>
            <w:tcBorders>
              <w:left w:val="single" w:sz="4" w:space="0" w:color="000000"/>
              <w:bottom w:val="single" w:sz="4" w:space="0" w:color="000000"/>
            </w:tcBorders>
          </w:tcPr>
          <w:p w14:paraId="26F5A876"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394C7163"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44A6B77C" w14:textId="77777777" w:rsidR="00A43A5F" w:rsidRDefault="00A43A5F">
            <w:pPr>
              <w:pStyle w:val="TableContents"/>
              <w:jc w:val="center"/>
              <w:rPr>
                <w:sz w:val="18"/>
                <w:szCs w:val="18"/>
              </w:rPr>
            </w:pPr>
          </w:p>
        </w:tc>
      </w:tr>
      <w:tr w:rsidR="00A43A5F" w14:paraId="1E155627" w14:textId="77777777">
        <w:tc>
          <w:tcPr>
            <w:tcW w:w="2715" w:type="dxa"/>
            <w:tcBorders>
              <w:left w:val="single" w:sz="4" w:space="0" w:color="000000"/>
              <w:bottom w:val="single" w:sz="4" w:space="0" w:color="000000"/>
            </w:tcBorders>
          </w:tcPr>
          <w:p w14:paraId="244D8262" w14:textId="77777777" w:rsidR="00A43A5F" w:rsidRDefault="00000000">
            <w:pPr>
              <w:pStyle w:val="TableContents"/>
              <w:rPr>
                <w:sz w:val="18"/>
                <w:szCs w:val="18"/>
              </w:rPr>
            </w:pPr>
            <w:r>
              <w:rPr>
                <w:color w:val="000000"/>
                <w:sz w:val="18"/>
                <w:szCs w:val="18"/>
              </w:rPr>
              <w:t>Enfin</w:t>
            </w:r>
          </w:p>
        </w:tc>
        <w:tc>
          <w:tcPr>
            <w:tcW w:w="1650" w:type="dxa"/>
            <w:tcBorders>
              <w:left w:val="single" w:sz="4" w:space="0" w:color="000000"/>
              <w:bottom w:val="single" w:sz="4" w:space="0" w:color="000000"/>
            </w:tcBorders>
          </w:tcPr>
          <w:p w14:paraId="4C8F9D3A" w14:textId="77777777" w:rsidR="00A43A5F" w:rsidRDefault="00000000">
            <w:pPr>
              <w:pStyle w:val="TableContents"/>
              <w:jc w:val="center"/>
              <w:rPr>
                <w:sz w:val="18"/>
                <w:szCs w:val="18"/>
              </w:rPr>
            </w:pPr>
            <w:r>
              <w:rPr>
                <w:color w:val="000000"/>
                <w:sz w:val="18"/>
                <w:szCs w:val="18"/>
              </w:rPr>
              <w:t>NR20 3EH</w:t>
            </w:r>
          </w:p>
        </w:tc>
        <w:tc>
          <w:tcPr>
            <w:tcW w:w="2206" w:type="dxa"/>
            <w:tcBorders>
              <w:left w:val="single" w:sz="4" w:space="0" w:color="000000"/>
              <w:bottom w:val="single" w:sz="4" w:space="0" w:color="000000"/>
            </w:tcBorders>
          </w:tcPr>
          <w:p w14:paraId="3C8F99AE" w14:textId="77777777" w:rsidR="00A43A5F" w:rsidRDefault="00000000">
            <w:pPr>
              <w:pStyle w:val="TableContents"/>
              <w:jc w:val="center"/>
              <w:rPr>
                <w:sz w:val="18"/>
                <w:szCs w:val="18"/>
              </w:rPr>
            </w:pPr>
            <w:r>
              <w:rPr>
                <w:color w:val="000000"/>
                <w:sz w:val="18"/>
                <w:szCs w:val="18"/>
              </w:rPr>
              <w:t>20</w:t>
            </w:r>
          </w:p>
        </w:tc>
        <w:tc>
          <w:tcPr>
            <w:tcW w:w="3196" w:type="dxa"/>
            <w:tcBorders>
              <w:left w:val="single" w:sz="4" w:space="0" w:color="000000"/>
              <w:bottom w:val="single" w:sz="4" w:space="0" w:color="000000"/>
            </w:tcBorders>
          </w:tcPr>
          <w:p w14:paraId="6C07795B"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75C78D65"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038846EB" w14:textId="77777777" w:rsidR="00A43A5F" w:rsidRDefault="00A43A5F">
            <w:pPr>
              <w:pStyle w:val="TableContents"/>
              <w:jc w:val="center"/>
              <w:rPr>
                <w:sz w:val="18"/>
                <w:szCs w:val="18"/>
              </w:rPr>
            </w:pPr>
          </w:p>
        </w:tc>
      </w:tr>
      <w:tr w:rsidR="00A43A5F" w14:paraId="07671CFB" w14:textId="77777777">
        <w:tc>
          <w:tcPr>
            <w:tcW w:w="2715" w:type="dxa"/>
            <w:tcBorders>
              <w:left w:val="single" w:sz="4" w:space="0" w:color="000000"/>
              <w:bottom w:val="single" w:sz="4" w:space="0" w:color="000000"/>
            </w:tcBorders>
          </w:tcPr>
          <w:p w14:paraId="3396D329" w14:textId="77777777" w:rsidR="00A43A5F" w:rsidRDefault="00000000">
            <w:pPr>
              <w:pStyle w:val="TableContents"/>
              <w:rPr>
                <w:sz w:val="18"/>
                <w:szCs w:val="18"/>
              </w:rPr>
            </w:pPr>
            <w:r>
              <w:rPr>
                <w:color w:val="000000"/>
                <w:sz w:val="18"/>
                <w:szCs w:val="18"/>
              </w:rPr>
              <w:t>Coppers, Watermeadow</w:t>
            </w:r>
          </w:p>
        </w:tc>
        <w:tc>
          <w:tcPr>
            <w:tcW w:w="1650" w:type="dxa"/>
            <w:tcBorders>
              <w:left w:val="single" w:sz="4" w:space="0" w:color="000000"/>
              <w:bottom w:val="single" w:sz="4" w:space="0" w:color="000000"/>
            </w:tcBorders>
          </w:tcPr>
          <w:p w14:paraId="3C2FA030" w14:textId="77777777" w:rsidR="00A43A5F" w:rsidRDefault="00000000">
            <w:pPr>
              <w:pStyle w:val="TableContents"/>
              <w:jc w:val="center"/>
              <w:rPr>
                <w:sz w:val="18"/>
                <w:szCs w:val="18"/>
              </w:rPr>
            </w:pPr>
            <w:r>
              <w:rPr>
                <w:color w:val="000000"/>
                <w:sz w:val="18"/>
                <w:szCs w:val="18"/>
              </w:rPr>
              <w:t>NR20 3EJ</w:t>
            </w:r>
          </w:p>
        </w:tc>
        <w:tc>
          <w:tcPr>
            <w:tcW w:w="2206" w:type="dxa"/>
            <w:tcBorders>
              <w:left w:val="single" w:sz="4" w:space="0" w:color="000000"/>
              <w:bottom w:val="single" w:sz="4" w:space="0" w:color="000000"/>
            </w:tcBorders>
          </w:tcPr>
          <w:p w14:paraId="0A21388B" w14:textId="77777777" w:rsidR="00A43A5F" w:rsidRDefault="00000000">
            <w:pPr>
              <w:pStyle w:val="TableContents"/>
              <w:jc w:val="center"/>
              <w:rPr>
                <w:sz w:val="18"/>
                <w:szCs w:val="18"/>
              </w:rPr>
            </w:pPr>
            <w:r>
              <w:rPr>
                <w:color w:val="000000"/>
                <w:sz w:val="18"/>
                <w:szCs w:val="18"/>
              </w:rPr>
              <w:t>20</w:t>
            </w:r>
          </w:p>
        </w:tc>
        <w:tc>
          <w:tcPr>
            <w:tcW w:w="3196" w:type="dxa"/>
            <w:tcBorders>
              <w:left w:val="single" w:sz="4" w:space="0" w:color="000000"/>
              <w:bottom w:val="single" w:sz="4" w:space="0" w:color="000000"/>
            </w:tcBorders>
          </w:tcPr>
          <w:p w14:paraId="3782DD93"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327B2945"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39EAFFE1" w14:textId="77777777" w:rsidR="00A43A5F" w:rsidRDefault="00A43A5F">
            <w:pPr>
              <w:pStyle w:val="TableContents"/>
              <w:jc w:val="center"/>
              <w:rPr>
                <w:sz w:val="18"/>
                <w:szCs w:val="18"/>
              </w:rPr>
            </w:pPr>
          </w:p>
        </w:tc>
      </w:tr>
      <w:tr w:rsidR="00A43A5F" w14:paraId="705762C4" w14:textId="77777777">
        <w:tc>
          <w:tcPr>
            <w:tcW w:w="2715" w:type="dxa"/>
            <w:tcBorders>
              <w:left w:val="single" w:sz="4" w:space="0" w:color="000000"/>
              <w:bottom w:val="single" w:sz="4" w:space="0" w:color="000000"/>
            </w:tcBorders>
          </w:tcPr>
          <w:p w14:paraId="19CF6C2E" w14:textId="77777777" w:rsidR="00A43A5F" w:rsidRDefault="00000000">
            <w:pPr>
              <w:pStyle w:val="TableContents"/>
              <w:rPr>
                <w:sz w:val="18"/>
                <w:szCs w:val="18"/>
              </w:rPr>
            </w:pPr>
            <w:r>
              <w:rPr>
                <w:color w:val="000000"/>
                <w:sz w:val="18"/>
                <w:szCs w:val="18"/>
              </w:rPr>
              <w:t>Brook House, Tu Bay Cottage</w:t>
            </w:r>
          </w:p>
        </w:tc>
        <w:tc>
          <w:tcPr>
            <w:tcW w:w="1650" w:type="dxa"/>
            <w:tcBorders>
              <w:left w:val="single" w:sz="4" w:space="0" w:color="000000"/>
              <w:bottom w:val="single" w:sz="4" w:space="0" w:color="000000"/>
            </w:tcBorders>
          </w:tcPr>
          <w:p w14:paraId="4575CD85" w14:textId="77777777" w:rsidR="00A43A5F" w:rsidRDefault="00000000">
            <w:pPr>
              <w:pStyle w:val="TableContents"/>
              <w:jc w:val="center"/>
              <w:rPr>
                <w:sz w:val="18"/>
                <w:szCs w:val="18"/>
              </w:rPr>
            </w:pPr>
            <w:r>
              <w:rPr>
                <w:color w:val="000000"/>
                <w:sz w:val="18"/>
                <w:szCs w:val="18"/>
              </w:rPr>
              <w:t>NR20 3EJ</w:t>
            </w:r>
          </w:p>
        </w:tc>
        <w:tc>
          <w:tcPr>
            <w:tcW w:w="2206" w:type="dxa"/>
            <w:tcBorders>
              <w:left w:val="single" w:sz="4" w:space="0" w:color="000000"/>
              <w:bottom w:val="single" w:sz="4" w:space="0" w:color="000000"/>
            </w:tcBorders>
          </w:tcPr>
          <w:p w14:paraId="535A329E" w14:textId="77777777" w:rsidR="00A43A5F" w:rsidRDefault="00000000">
            <w:pPr>
              <w:pStyle w:val="TableContents"/>
              <w:jc w:val="center"/>
              <w:rPr>
                <w:sz w:val="18"/>
                <w:szCs w:val="18"/>
              </w:rPr>
            </w:pPr>
            <w:r>
              <w:rPr>
                <w:color w:val="000000"/>
                <w:sz w:val="18"/>
                <w:szCs w:val="18"/>
              </w:rPr>
              <w:t>19</w:t>
            </w:r>
          </w:p>
        </w:tc>
        <w:tc>
          <w:tcPr>
            <w:tcW w:w="3196" w:type="dxa"/>
            <w:tcBorders>
              <w:left w:val="single" w:sz="4" w:space="0" w:color="000000"/>
              <w:bottom w:val="single" w:sz="4" w:space="0" w:color="000000"/>
            </w:tcBorders>
          </w:tcPr>
          <w:p w14:paraId="4654C64B"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3D47FE7E"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0DFAFA0C" w14:textId="77777777" w:rsidR="00A43A5F" w:rsidRDefault="00A43A5F">
            <w:pPr>
              <w:pStyle w:val="TableContents"/>
              <w:jc w:val="center"/>
              <w:rPr>
                <w:sz w:val="18"/>
                <w:szCs w:val="18"/>
              </w:rPr>
            </w:pPr>
          </w:p>
        </w:tc>
      </w:tr>
      <w:tr w:rsidR="00A43A5F" w14:paraId="78319694" w14:textId="77777777">
        <w:tc>
          <w:tcPr>
            <w:tcW w:w="2715" w:type="dxa"/>
            <w:tcBorders>
              <w:left w:val="single" w:sz="4" w:space="0" w:color="000000"/>
              <w:bottom w:val="single" w:sz="4" w:space="0" w:color="000000"/>
            </w:tcBorders>
          </w:tcPr>
          <w:p w14:paraId="6374F32F" w14:textId="77777777" w:rsidR="00A43A5F" w:rsidRDefault="00000000">
            <w:pPr>
              <w:pStyle w:val="TableContents"/>
              <w:rPr>
                <w:sz w:val="18"/>
                <w:szCs w:val="18"/>
              </w:rPr>
            </w:pPr>
            <w:r>
              <w:rPr>
                <w:color w:val="000000"/>
                <w:sz w:val="18"/>
                <w:szCs w:val="18"/>
              </w:rPr>
              <w:t>Chestnut Cottage</w:t>
            </w:r>
          </w:p>
        </w:tc>
        <w:tc>
          <w:tcPr>
            <w:tcW w:w="1650" w:type="dxa"/>
            <w:tcBorders>
              <w:left w:val="single" w:sz="4" w:space="0" w:color="000000"/>
              <w:bottom w:val="single" w:sz="4" w:space="0" w:color="000000"/>
            </w:tcBorders>
          </w:tcPr>
          <w:p w14:paraId="18A24731" w14:textId="77777777" w:rsidR="00A43A5F" w:rsidRDefault="00000000">
            <w:pPr>
              <w:pStyle w:val="TableContents"/>
              <w:jc w:val="center"/>
              <w:rPr>
                <w:sz w:val="18"/>
                <w:szCs w:val="18"/>
              </w:rPr>
            </w:pPr>
            <w:r>
              <w:rPr>
                <w:color w:val="000000"/>
                <w:sz w:val="18"/>
                <w:szCs w:val="18"/>
              </w:rPr>
              <w:t>NR20 3EJ</w:t>
            </w:r>
          </w:p>
        </w:tc>
        <w:tc>
          <w:tcPr>
            <w:tcW w:w="2206" w:type="dxa"/>
            <w:tcBorders>
              <w:left w:val="single" w:sz="4" w:space="0" w:color="000000"/>
              <w:bottom w:val="single" w:sz="4" w:space="0" w:color="000000"/>
            </w:tcBorders>
          </w:tcPr>
          <w:p w14:paraId="2491D29B" w14:textId="77777777" w:rsidR="00A43A5F" w:rsidRDefault="00000000">
            <w:pPr>
              <w:pStyle w:val="TableContents"/>
              <w:jc w:val="center"/>
              <w:rPr>
                <w:sz w:val="18"/>
                <w:szCs w:val="18"/>
              </w:rPr>
            </w:pPr>
            <w:r>
              <w:rPr>
                <w:color w:val="000000"/>
                <w:sz w:val="18"/>
                <w:szCs w:val="18"/>
              </w:rPr>
              <w:t>18</w:t>
            </w:r>
          </w:p>
        </w:tc>
        <w:tc>
          <w:tcPr>
            <w:tcW w:w="3196" w:type="dxa"/>
            <w:tcBorders>
              <w:left w:val="single" w:sz="4" w:space="0" w:color="000000"/>
              <w:bottom w:val="single" w:sz="4" w:space="0" w:color="000000"/>
            </w:tcBorders>
          </w:tcPr>
          <w:p w14:paraId="094959CE"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5E06F0FA"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4B57890D" w14:textId="77777777" w:rsidR="00A43A5F" w:rsidRDefault="00A43A5F">
            <w:pPr>
              <w:pStyle w:val="TableContents"/>
              <w:jc w:val="center"/>
              <w:rPr>
                <w:sz w:val="18"/>
                <w:szCs w:val="18"/>
              </w:rPr>
            </w:pPr>
          </w:p>
        </w:tc>
      </w:tr>
      <w:tr w:rsidR="00A43A5F" w14:paraId="35B37CDE" w14:textId="77777777">
        <w:tc>
          <w:tcPr>
            <w:tcW w:w="2715" w:type="dxa"/>
            <w:tcBorders>
              <w:left w:val="single" w:sz="4" w:space="0" w:color="000000"/>
              <w:bottom w:val="single" w:sz="4" w:space="0" w:color="000000"/>
            </w:tcBorders>
          </w:tcPr>
          <w:p w14:paraId="216AAA52" w14:textId="77777777" w:rsidR="00A43A5F" w:rsidRDefault="00000000">
            <w:pPr>
              <w:pStyle w:val="TableContents"/>
              <w:rPr>
                <w:sz w:val="18"/>
                <w:szCs w:val="18"/>
              </w:rPr>
            </w:pPr>
            <w:r>
              <w:rPr>
                <w:color w:val="000000"/>
                <w:sz w:val="18"/>
                <w:szCs w:val="18"/>
              </w:rPr>
              <w:t>Three Bridges Farmhouse</w:t>
            </w:r>
          </w:p>
        </w:tc>
        <w:tc>
          <w:tcPr>
            <w:tcW w:w="1650" w:type="dxa"/>
            <w:tcBorders>
              <w:left w:val="single" w:sz="4" w:space="0" w:color="000000"/>
              <w:bottom w:val="single" w:sz="4" w:space="0" w:color="000000"/>
            </w:tcBorders>
          </w:tcPr>
          <w:p w14:paraId="1414DDB0" w14:textId="77777777" w:rsidR="00A43A5F" w:rsidRDefault="00000000">
            <w:pPr>
              <w:pStyle w:val="TableContents"/>
              <w:jc w:val="center"/>
              <w:rPr>
                <w:sz w:val="18"/>
                <w:szCs w:val="18"/>
              </w:rPr>
            </w:pPr>
            <w:r>
              <w:rPr>
                <w:color w:val="000000"/>
                <w:sz w:val="18"/>
                <w:szCs w:val="18"/>
              </w:rPr>
              <w:t>NR20 3EW</w:t>
            </w:r>
          </w:p>
        </w:tc>
        <w:tc>
          <w:tcPr>
            <w:tcW w:w="2206" w:type="dxa"/>
            <w:tcBorders>
              <w:left w:val="single" w:sz="4" w:space="0" w:color="000000"/>
              <w:bottom w:val="single" w:sz="4" w:space="0" w:color="000000"/>
            </w:tcBorders>
          </w:tcPr>
          <w:p w14:paraId="7F8970DD" w14:textId="77777777" w:rsidR="00A43A5F" w:rsidRDefault="00000000">
            <w:pPr>
              <w:pStyle w:val="TableContents"/>
              <w:jc w:val="center"/>
              <w:rPr>
                <w:sz w:val="18"/>
                <w:szCs w:val="18"/>
              </w:rPr>
            </w:pPr>
            <w:r>
              <w:rPr>
                <w:color w:val="000000"/>
                <w:sz w:val="18"/>
                <w:szCs w:val="18"/>
              </w:rPr>
              <w:t>18</w:t>
            </w:r>
          </w:p>
        </w:tc>
        <w:tc>
          <w:tcPr>
            <w:tcW w:w="3196" w:type="dxa"/>
            <w:tcBorders>
              <w:left w:val="single" w:sz="4" w:space="0" w:color="000000"/>
              <w:bottom w:val="single" w:sz="4" w:space="0" w:color="000000"/>
            </w:tcBorders>
          </w:tcPr>
          <w:p w14:paraId="56BBDCDF" w14:textId="77777777" w:rsidR="00A43A5F" w:rsidRDefault="00000000">
            <w:pPr>
              <w:pStyle w:val="TableContents"/>
              <w:jc w:val="center"/>
              <w:rPr>
                <w:sz w:val="18"/>
                <w:szCs w:val="18"/>
              </w:rPr>
            </w:pPr>
            <w:r>
              <w:rPr>
                <w:color w:val="000000"/>
                <w:sz w:val="18"/>
                <w:szCs w:val="18"/>
              </w:rPr>
              <w:t>17</w:t>
            </w:r>
          </w:p>
        </w:tc>
        <w:tc>
          <w:tcPr>
            <w:tcW w:w="3103" w:type="dxa"/>
            <w:vMerge/>
            <w:tcBorders>
              <w:left w:val="single" w:sz="4" w:space="0" w:color="000000"/>
              <w:bottom w:val="single" w:sz="4" w:space="0" w:color="000000"/>
            </w:tcBorders>
          </w:tcPr>
          <w:p w14:paraId="00154A55" w14:textId="77777777" w:rsidR="00A43A5F" w:rsidRDefault="00A43A5F">
            <w:pPr>
              <w:pStyle w:val="TableContents"/>
              <w:jc w:val="center"/>
              <w:rPr>
                <w:sz w:val="18"/>
                <w:szCs w:val="18"/>
              </w:rPr>
            </w:pPr>
          </w:p>
        </w:tc>
        <w:tc>
          <w:tcPr>
            <w:tcW w:w="59" w:type="dxa"/>
            <w:tcBorders>
              <w:left w:val="single" w:sz="4" w:space="0" w:color="000000"/>
              <w:bottom w:val="single" w:sz="4" w:space="0" w:color="000000"/>
              <w:right w:val="single" w:sz="4" w:space="0" w:color="000000"/>
            </w:tcBorders>
          </w:tcPr>
          <w:p w14:paraId="4BD140E5" w14:textId="77777777" w:rsidR="00A43A5F" w:rsidRDefault="00A43A5F">
            <w:pPr>
              <w:pStyle w:val="TableContents"/>
              <w:jc w:val="center"/>
              <w:rPr>
                <w:sz w:val="18"/>
                <w:szCs w:val="18"/>
              </w:rPr>
            </w:pPr>
          </w:p>
        </w:tc>
      </w:tr>
    </w:tbl>
    <w:p w14:paraId="41CA1270" w14:textId="77777777" w:rsidR="00A43A5F" w:rsidRDefault="00A43A5F">
      <w:pPr>
        <w:rPr>
          <w:sz w:val="18"/>
          <w:szCs w:val="18"/>
        </w:rPr>
      </w:pPr>
    </w:p>
    <w:p w14:paraId="0032189A" w14:textId="77777777" w:rsidR="00A43A5F" w:rsidRDefault="00000000">
      <w:pPr>
        <w:rPr>
          <w:sz w:val="18"/>
          <w:szCs w:val="18"/>
        </w:rPr>
      </w:pPr>
      <w:r>
        <w:rPr>
          <w:sz w:val="18"/>
          <w:szCs w:val="18"/>
        </w:rPr>
        <w:t xml:space="preserve">Sources: </w:t>
      </w:r>
      <w:r>
        <w:rPr>
          <w:i/>
          <w:iCs/>
          <w:sz w:val="18"/>
          <w:szCs w:val="18"/>
        </w:rPr>
        <w:t>Google Earth (measurements only to the nearest metre), GOV..UK</w:t>
      </w:r>
    </w:p>
    <w:p w14:paraId="1CE66B1E" w14:textId="77777777" w:rsidR="00A43A5F" w:rsidRDefault="00000000">
      <w:r>
        <w:t xml:space="preserve">                                                                                                                                                                                                                                          </w:t>
      </w:r>
    </w:p>
    <w:p w14:paraId="4EA826F4" w14:textId="77777777" w:rsidR="00A43A5F" w:rsidRDefault="00000000">
      <w:pPr>
        <w:rPr>
          <w:sz w:val="21"/>
          <w:szCs w:val="21"/>
        </w:rPr>
      </w:pPr>
      <w:r>
        <w:rPr>
          <w:sz w:val="21"/>
          <w:szCs w:val="21"/>
        </w:rPr>
        <w:t xml:space="preserve">     The GOV.UK flood risk summary for this area is ‘low’. However we know that in these days of climate change, the past is not always an indicator of the future, and we are constantly advised to expect more extreme weather events. Far more information is therefore needed than the data above, which only relates to specific properties (who could be advised to have sandbags, air-brick covers, etc at the ready), but flooding is also determined by topography far beyond their location. Normally, floodwater in this area has first to fill its floodplain before there is any threat to property. But has this floodplain been reconfigured in any way, for example by the NOWZ excavations for cable pipelines which cross the Wensum at Elsing? Sluicegates at Elsing Mill moderate the flow of floodwater up to a point. The rate at which floodwater can be carried away is fixed by the weir at Lyng.  Flooding sometimes defies logic – the first property above* has seen floodwater 0.3 m beneath the floorboards, while lower-lying properties were not flooded.  It seems floodwater can sometimes be better contained by proper maintenance of ditches, drainage channels, buffer strips, leaky dams, bunds, etc, as signalled in the May 2024 report by Breckland Council and CPRE Norfolk. The equation which brings together all the above factors cannot be correctly understood by this Parish Council. Thus we would be pleased to hear from the Water Management Alliance or a person proposed by them, who would be better qualified to do so. </w:t>
      </w:r>
    </w:p>
    <w:p w14:paraId="23EB4AB0" w14:textId="77777777" w:rsidR="00A43A5F" w:rsidRDefault="00000000">
      <w:pPr>
        <w:rPr>
          <w:sz w:val="21"/>
          <w:szCs w:val="21"/>
        </w:rPr>
      </w:pPr>
      <w:r>
        <w:rPr>
          <w:sz w:val="21"/>
          <w:szCs w:val="21"/>
        </w:rPr>
        <w:t xml:space="preserve">    Three of the four local landowners were contacted but were not able to respond to our question “If there were a greater depth of floodwater than there has been before, where would it go?” However they were agreed on the following:</w:t>
      </w:r>
    </w:p>
    <w:p w14:paraId="149D18EF" w14:textId="77777777" w:rsidR="00A43A5F" w:rsidRDefault="00000000">
      <w:pPr>
        <w:rPr>
          <w:sz w:val="21"/>
          <w:szCs w:val="21"/>
        </w:rPr>
      </w:pPr>
      <w:r>
        <w:rPr>
          <w:sz w:val="21"/>
          <w:szCs w:val="21"/>
        </w:rPr>
        <w:t>1. Floodwater is slower to pass than need be because the authorities no longer clear weed growth.</w:t>
      </w:r>
    </w:p>
    <w:p w14:paraId="69D237E1" w14:textId="77777777" w:rsidR="00A43A5F" w:rsidRDefault="00000000">
      <w:pPr>
        <w:rPr>
          <w:sz w:val="21"/>
          <w:szCs w:val="21"/>
        </w:rPr>
      </w:pPr>
      <w:r>
        <w:rPr>
          <w:sz w:val="21"/>
          <w:szCs w:val="21"/>
        </w:rPr>
        <w:t>2. The nutrients which produce weed growth are due to waste from Bylaugh Sewage Works and not from nitrates, which are not used on adjacent meadows.</w:t>
      </w:r>
    </w:p>
    <w:p w14:paraId="40B68F46" w14:textId="77777777" w:rsidR="00A43A5F" w:rsidRDefault="00000000">
      <w:pPr>
        <w:rPr>
          <w:sz w:val="21"/>
          <w:szCs w:val="21"/>
        </w:rPr>
      </w:pPr>
      <w:r>
        <w:rPr>
          <w:sz w:val="21"/>
          <w:szCs w:val="21"/>
        </w:rPr>
        <w:t>3. The properties most at risk are Marsh Cottage and Three Bridges farmhouse.</w:t>
      </w:r>
    </w:p>
    <w:p w14:paraId="36A356C8" w14:textId="77777777" w:rsidR="00A43A5F" w:rsidRDefault="00000000">
      <w:pPr>
        <w:rPr>
          <w:sz w:val="21"/>
          <w:szCs w:val="21"/>
        </w:rPr>
      </w:pPr>
      <w:r>
        <w:rPr>
          <w:sz w:val="21"/>
          <w:szCs w:val="21"/>
        </w:rPr>
        <w:t xml:space="preserve">                                                                                                                                                                                                                                                             pto...</w:t>
      </w:r>
    </w:p>
    <w:p w14:paraId="33451524" w14:textId="77777777" w:rsidR="00A43A5F" w:rsidRDefault="00A43A5F">
      <w:pPr>
        <w:rPr>
          <w:sz w:val="21"/>
          <w:szCs w:val="21"/>
        </w:rPr>
      </w:pPr>
    </w:p>
    <w:p w14:paraId="7C48E1C9" w14:textId="77777777" w:rsidR="00A43A5F" w:rsidRDefault="00000000">
      <w:pPr>
        <w:rPr>
          <w:sz w:val="21"/>
          <w:szCs w:val="21"/>
        </w:rPr>
      </w:pPr>
      <w:r>
        <w:rPr>
          <w:sz w:val="21"/>
          <w:szCs w:val="21"/>
        </w:rPr>
        <w:t xml:space="preserve">                             </w:t>
      </w:r>
    </w:p>
    <w:p w14:paraId="130AE8D0" w14:textId="77777777" w:rsidR="00A43A5F" w:rsidRDefault="00000000">
      <w:pPr>
        <w:rPr>
          <w:sz w:val="21"/>
          <w:szCs w:val="21"/>
        </w:rPr>
      </w:pPr>
      <w:r>
        <w:rPr>
          <w:sz w:val="21"/>
          <w:szCs w:val="21"/>
        </w:rPr>
        <w:t xml:space="preserve"> </w:t>
      </w:r>
      <w:r>
        <w:rPr>
          <w:sz w:val="26"/>
          <w:szCs w:val="26"/>
        </w:rPr>
        <w:t xml:space="preserve"> Meeting of Cllrs Chaplin, Horncastle and Laws with Mr Tom Hunter of the Kings Lynn Water Management Alliance,  5 / 3 / 26</w:t>
      </w:r>
    </w:p>
    <w:p w14:paraId="249232BB" w14:textId="77777777" w:rsidR="00A43A5F" w:rsidRDefault="00A43A5F">
      <w:pPr>
        <w:rPr>
          <w:sz w:val="21"/>
          <w:szCs w:val="21"/>
        </w:rPr>
      </w:pPr>
    </w:p>
    <w:p w14:paraId="17B0E822" w14:textId="77777777" w:rsidR="00A43A5F" w:rsidRDefault="00000000">
      <w:pPr>
        <w:rPr>
          <w:sz w:val="21"/>
          <w:szCs w:val="21"/>
        </w:rPr>
      </w:pPr>
      <w:r>
        <w:rPr>
          <w:sz w:val="21"/>
          <w:szCs w:val="21"/>
        </w:rPr>
        <w:t>Mr Hunter was able to provide the perspective asked for in the first page of this document. In his view, the government assessment of “Low” flood risk is appropriate for Elsing. Below are listed the additional points of interest which were discussed.</w:t>
      </w:r>
    </w:p>
    <w:p w14:paraId="78C61CAA" w14:textId="77777777" w:rsidR="00A43A5F" w:rsidRDefault="00A43A5F">
      <w:pPr>
        <w:rPr>
          <w:sz w:val="21"/>
          <w:szCs w:val="21"/>
        </w:rPr>
      </w:pPr>
    </w:p>
    <w:p w14:paraId="6346AE6D" w14:textId="77777777" w:rsidR="00A43A5F" w:rsidRDefault="00000000">
      <w:pPr>
        <w:rPr>
          <w:sz w:val="21"/>
          <w:szCs w:val="21"/>
        </w:rPr>
      </w:pPr>
      <w:r>
        <w:rPr>
          <w:sz w:val="21"/>
          <w:szCs w:val="21"/>
        </w:rPr>
        <w:t>* Mr Hunter provided three useful maps (</w:t>
      </w:r>
      <w:r>
        <w:rPr>
          <w:b/>
          <w:bCs/>
          <w:sz w:val="21"/>
          <w:szCs w:val="21"/>
        </w:rPr>
        <w:t>A,B,C</w:t>
      </w:r>
      <w:r>
        <w:rPr>
          <w:sz w:val="21"/>
          <w:szCs w:val="21"/>
        </w:rPr>
        <w:t>), on which you might like to try and locate your own house:</w:t>
      </w:r>
    </w:p>
    <w:p w14:paraId="299E716D" w14:textId="77777777" w:rsidR="00A43A5F" w:rsidRDefault="00A43A5F">
      <w:pPr>
        <w:rPr>
          <w:sz w:val="21"/>
          <w:szCs w:val="21"/>
        </w:rPr>
      </w:pPr>
    </w:p>
    <w:p w14:paraId="3E7236AB" w14:textId="77777777" w:rsidR="00A43A5F" w:rsidRDefault="00000000">
      <w:pPr>
        <w:rPr>
          <w:sz w:val="21"/>
          <w:szCs w:val="21"/>
        </w:rPr>
      </w:pPr>
      <w:r>
        <w:rPr>
          <w:sz w:val="21"/>
          <w:szCs w:val="21"/>
        </w:rPr>
        <w:t xml:space="preserve">  </w:t>
      </w:r>
      <w:r>
        <w:rPr>
          <w:b/>
          <w:bCs/>
          <w:sz w:val="21"/>
          <w:szCs w:val="21"/>
        </w:rPr>
        <w:t>A</w:t>
      </w:r>
      <w:r>
        <w:rPr>
          <w:sz w:val="21"/>
          <w:szCs w:val="21"/>
        </w:rPr>
        <w:t xml:space="preserve">  shows where floodwater is likely to go. Dark blue represents lakes and the river. Mid blue shows the extent of flooding in a bad year, but which we are familiar with.     </w:t>
      </w:r>
    </w:p>
    <w:p w14:paraId="3EA81051" w14:textId="77777777" w:rsidR="00A43A5F" w:rsidRDefault="00000000">
      <w:pPr>
        <w:rPr>
          <w:sz w:val="21"/>
          <w:szCs w:val="21"/>
        </w:rPr>
      </w:pPr>
      <w:r>
        <w:rPr>
          <w:sz w:val="21"/>
          <w:szCs w:val="21"/>
        </w:rPr>
        <w:t xml:space="preserve">  Light or very light blue shows where, in theory, unusually high floodwater would reach and includes all the above properties; but this would be a one-in-a-thousand year       </w:t>
      </w:r>
    </w:p>
    <w:p w14:paraId="5086D73B" w14:textId="77777777" w:rsidR="00A43A5F" w:rsidRDefault="00000000">
      <w:pPr>
        <w:rPr>
          <w:sz w:val="21"/>
          <w:szCs w:val="21"/>
        </w:rPr>
      </w:pPr>
      <w:r>
        <w:rPr>
          <w:sz w:val="21"/>
          <w:szCs w:val="21"/>
        </w:rPr>
        <w:t xml:space="preserve">  event.</w:t>
      </w:r>
    </w:p>
    <w:p w14:paraId="5FFBCA2C" w14:textId="77777777" w:rsidR="00A43A5F" w:rsidRDefault="00A43A5F">
      <w:pPr>
        <w:rPr>
          <w:sz w:val="21"/>
          <w:szCs w:val="21"/>
        </w:rPr>
      </w:pPr>
    </w:p>
    <w:p w14:paraId="5987EEB9" w14:textId="77777777" w:rsidR="00A43A5F" w:rsidRDefault="00000000">
      <w:pPr>
        <w:rPr>
          <w:sz w:val="21"/>
          <w:szCs w:val="21"/>
        </w:rPr>
      </w:pPr>
      <w:r>
        <w:rPr>
          <w:sz w:val="21"/>
          <w:szCs w:val="21"/>
        </w:rPr>
        <w:t xml:space="preserve">  </w:t>
      </w:r>
      <w:r>
        <w:rPr>
          <w:b/>
          <w:bCs/>
          <w:sz w:val="21"/>
          <w:szCs w:val="21"/>
        </w:rPr>
        <w:t>B</w:t>
      </w:r>
      <w:r>
        <w:rPr>
          <w:sz w:val="21"/>
          <w:szCs w:val="21"/>
        </w:rPr>
        <w:t xml:space="preserve">  shows, in blue, the important drainage ditches which feed water into the Wensum. In the past they may have also served as mill leats. Property owners either side of       </w:t>
      </w:r>
    </w:p>
    <w:p w14:paraId="4EDE08E5" w14:textId="77777777" w:rsidR="00A43A5F" w:rsidRDefault="00000000">
      <w:pPr>
        <w:rPr>
          <w:sz w:val="21"/>
          <w:szCs w:val="21"/>
        </w:rPr>
      </w:pPr>
      <w:r>
        <w:rPr>
          <w:sz w:val="21"/>
          <w:szCs w:val="21"/>
        </w:rPr>
        <w:t xml:space="preserve">  these share responsibility for removing blockages of any sort. They may do so without a permit but must have regard to wildlife, breeding seasons, etc. Any building work,   </w:t>
      </w:r>
    </w:p>
    <w:p w14:paraId="3708234A" w14:textId="77777777" w:rsidR="00A43A5F" w:rsidRDefault="00000000">
      <w:pPr>
        <w:rPr>
          <w:sz w:val="21"/>
          <w:szCs w:val="21"/>
        </w:rPr>
      </w:pPr>
      <w:r>
        <w:rPr>
          <w:sz w:val="21"/>
          <w:szCs w:val="21"/>
        </w:rPr>
        <w:t xml:space="preserve">  driveways, etc which might reduce flow should be reported. </w:t>
      </w:r>
    </w:p>
    <w:p w14:paraId="4E3EAF84" w14:textId="77777777" w:rsidR="00A43A5F" w:rsidRDefault="00A43A5F">
      <w:pPr>
        <w:rPr>
          <w:sz w:val="21"/>
          <w:szCs w:val="21"/>
        </w:rPr>
      </w:pPr>
    </w:p>
    <w:p w14:paraId="55E0286E" w14:textId="77777777" w:rsidR="00A43A5F" w:rsidRDefault="00000000">
      <w:pPr>
        <w:rPr>
          <w:sz w:val="21"/>
          <w:szCs w:val="21"/>
        </w:rPr>
      </w:pPr>
      <w:r>
        <w:rPr>
          <w:sz w:val="21"/>
          <w:szCs w:val="21"/>
        </w:rPr>
        <w:t xml:space="preserve">  </w:t>
      </w:r>
      <w:r>
        <w:rPr>
          <w:b/>
          <w:bCs/>
          <w:sz w:val="21"/>
          <w:szCs w:val="21"/>
        </w:rPr>
        <w:t>C</w:t>
      </w:r>
      <w:r>
        <w:rPr>
          <w:sz w:val="21"/>
          <w:szCs w:val="21"/>
        </w:rPr>
        <w:t xml:space="preserve">  shows, with the same colour-coding as in </w:t>
      </w:r>
      <w:r>
        <w:rPr>
          <w:b/>
          <w:bCs/>
          <w:sz w:val="21"/>
          <w:szCs w:val="21"/>
        </w:rPr>
        <w:t>A</w:t>
      </w:r>
      <w:r>
        <w:rPr>
          <w:sz w:val="21"/>
          <w:szCs w:val="21"/>
        </w:rPr>
        <w:t xml:space="preserve">, the possible extent of surface water. This is rainfall which has naturally collected along the drainage ditches, at a slightly  </w:t>
      </w:r>
    </w:p>
    <w:p w14:paraId="137BD6C2" w14:textId="77777777" w:rsidR="00A43A5F" w:rsidRDefault="00000000">
      <w:pPr>
        <w:rPr>
          <w:sz w:val="21"/>
          <w:szCs w:val="21"/>
        </w:rPr>
      </w:pPr>
      <w:r>
        <w:rPr>
          <w:sz w:val="21"/>
          <w:szCs w:val="21"/>
        </w:rPr>
        <w:t xml:space="preserve">  higher level than the flooded river, but which may or may not flow away fast enough. This accounts for the flooding at the first property above but not elsewhere.</w:t>
      </w:r>
    </w:p>
    <w:p w14:paraId="10EA9F4E" w14:textId="77777777" w:rsidR="00A43A5F" w:rsidRDefault="00A43A5F">
      <w:pPr>
        <w:rPr>
          <w:sz w:val="21"/>
          <w:szCs w:val="21"/>
        </w:rPr>
      </w:pPr>
    </w:p>
    <w:p w14:paraId="13EE2A1D" w14:textId="77777777" w:rsidR="00A43A5F" w:rsidRDefault="00000000">
      <w:pPr>
        <w:rPr>
          <w:sz w:val="21"/>
          <w:szCs w:val="21"/>
        </w:rPr>
      </w:pPr>
      <w:r>
        <w:rPr>
          <w:sz w:val="21"/>
          <w:szCs w:val="21"/>
        </w:rPr>
        <w:t xml:space="preserve">   You can find these maps at</w:t>
      </w:r>
      <w:r>
        <w:rPr>
          <w:color w:val="222222"/>
          <w:sz w:val="21"/>
          <w:szCs w:val="21"/>
        </w:rPr>
        <w:t xml:space="preserve">    </w:t>
      </w:r>
      <w:r>
        <w:rPr>
          <w:color w:val="222222"/>
          <w:sz w:val="22"/>
          <w:szCs w:val="22"/>
        </w:rPr>
        <w:t xml:space="preserve"> </w:t>
      </w:r>
      <w:hyperlink r:id="rId4" w:tgtFrame="_blank">
        <w:r>
          <w:rPr>
            <w:rStyle w:val="Hyperlink"/>
            <w:rFonts w:ascii="Arial;Helvetica;sans-serif" w:hAnsi="Arial;Helvetica;sans-serif"/>
            <w:color w:val="1155CC"/>
            <w:sz w:val="22"/>
            <w:szCs w:val="22"/>
          </w:rPr>
          <w:t>https://check-long-term-flood-risk.service.gov.uk/map</w:t>
        </w:r>
      </w:hyperlink>
    </w:p>
    <w:p w14:paraId="32D2458C" w14:textId="77777777" w:rsidR="00A43A5F" w:rsidRDefault="00000000">
      <w:pPr>
        <w:rPr>
          <w:sz w:val="21"/>
          <w:szCs w:val="21"/>
        </w:rPr>
      </w:pPr>
      <w:r>
        <w:rPr>
          <w:sz w:val="21"/>
          <w:szCs w:val="21"/>
        </w:rPr>
        <w:t xml:space="preserve"> </w:t>
      </w:r>
    </w:p>
    <w:p w14:paraId="47C2C960" w14:textId="77777777" w:rsidR="00A43A5F" w:rsidRDefault="00A43A5F">
      <w:pPr>
        <w:rPr>
          <w:sz w:val="21"/>
          <w:szCs w:val="21"/>
        </w:rPr>
      </w:pPr>
    </w:p>
    <w:p w14:paraId="16B44696" w14:textId="77777777" w:rsidR="00A43A5F" w:rsidRDefault="00000000">
      <w:pPr>
        <w:rPr>
          <w:sz w:val="21"/>
          <w:szCs w:val="21"/>
        </w:rPr>
      </w:pPr>
      <w:r>
        <w:rPr>
          <w:sz w:val="21"/>
          <w:szCs w:val="21"/>
        </w:rPr>
        <w:t>* The Internal Drainage Board is responsible for drainage ditches, and the Environment Agency covers the river as a whole. The EA does not allow landowners to use machinery to dredge or clear weeds, fearing disturbance of the delicate ecological balance. In some cases permits may be granted, but these are expensive and time-consuming. Fallen trees may usually be dealt with by the landowner, as may any clearing of weeds done by hand.</w:t>
      </w:r>
    </w:p>
    <w:p w14:paraId="1D04B2C0" w14:textId="77777777" w:rsidR="00A43A5F" w:rsidRDefault="00A43A5F">
      <w:pPr>
        <w:rPr>
          <w:sz w:val="21"/>
          <w:szCs w:val="21"/>
        </w:rPr>
      </w:pPr>
    </w:p>
    <w:p w14:paraId="584A2373" w14:textId="77777777" w:rsidR="00A43A5F" w:rsidRDefault="00A43A5F">
      <w:pPr>
        <w:rPr>
          <w:sz w:val="21"/>
          <w:szCs w:val="21"/>
        </w:rPr>
      </w:pPr>
    </w:p>
    <w:p w14:paraId="2F3ED95B" w14:textId="77777777" w:rsidR="00A43A5F" w:rsidRDefault="00000000">
      <w:pPr>
        <w:rPr>
          <w:sz w:val="21"/>
          <w:szCs w:val="21"/>
        </w:rPr>
      </w:pPr>
      <w:r>
        <w:rPr>
          <w:sz w:val="21"/>
          <w:szCs w:val="21"/>
        </w:rPr>
        <w:t>* Enquiries regarding the discharge from the sewage works at Bylaugh may be addressed to the E A Water Quality Team, Dragonfly House, 2 Gilders Way, Norwich.</w:t>
      </w:r>
    </w:p>
    <w:p w14:paraId="19254516" w14:textId="77777777" w:rsidR="00A43A5F" w:rsidRDefault="00A43A5F">
      <w:pPr>
        <w:rPr>
          <w:sz w:val="21"/>
          <w:szCs w:val="21"/>
        </w:rPr>
      </w:pPr>
    </w:p>
    <w:p w14:paraId="45D82C57" w14:textId="77777777" w:rsidR="00A43A5F" w:rsidRDefault="00A43A5F">
      <w:pPr>
        <w:rPr>
          <w:sz w:val="21"/>
          <w:szCs w:val="21"/>
        </w:rPr>
      </w:pPr>
    </w:p>
    <w:p w14:paraId="1129ED29" w14:textId="77777777" w:rsidR="00A43A5F" w:rsidRDefault="00A43A5F">
      <w:pPr>
        <w:rPr>
          <w:sz w:val="21"/>
          <w:szCs w:val="21"/>
        </w:rPr>
      </w:pPr>
    </w:p>
    <w:p w14:paraId="107BF26C" w14:textId="77777777" w:rsidR="00A43A5F" w:rsidRDefault="00A43A5F">
      <w:pPr>
        <w:rPr>
          <w:sz w:val="21"/>
          <w:szCs w:val="21"/>
        </w:rPr>
      </w:pPr>
    </w:p>
    <w:p w14:paraId="7E0FD95F" w14:textId="77777777" w:rsidR="00A43A5F" w:rsidRDefault="00A43A5F">
      <w:pPr>
        <w:rPr>
          <w:sz w:val="21"/>
          <w:szCs w:val="21"/>
        </w:rPr>
      </w:pPr>
    </w:p>
    <w:p w14:paraId="4112FDEF" w14:textId="77777777" w:rsidR="00A43A5F" w:rsidRDefault="00A43A5F">
      <w:pPr>
        <w:rPr>
          <w:sz w:val="21"/>
          <w:szCs w:val="21"/>
        </w:rPr>
      </w:pPr>
    </w:p>
    <w:p w14:paraId="10A48D5F" w14:textId="77777777" w:rsidR="00A43A5F" w:rsidRDefault="00A43A5F">
      <w:pPr>
        <w:rPr>
          <w:sz w:val="21"/>
          <w:szCs w:val="21"/>
        </w:rPr>
      </w:pPr>
    </w:p>
    <w:p w14:paraId="13D03D4C" w14:textId="77777777" w:rsidR="00A43A5F" w:rsidRDefault="00000000">
      <w:pPr>
        <w:rPr>
          <w:sz w:val="21"/>
          <w:szCs w:val="21"/>
        </w:rPr>
      </w:pPr>
      <w:r>
        <w:rPr>
          <w:sz w:val="21"/>
          <w:szCs w:val="21"/>
        </w:rPr>
        <w:t xml:space="preserve">                                                                                                                                                                   Elsing Parish Council, Marsh 2026</w:t>
      </w:r>
    </w:p>
    <w:sectPr w:rsidR="00A43A5F">
      <w:pgSz w:w="16838" w:h="11906" w:orient="landscape"/>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Arial;Helvetica;sans-serif">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5F"/>
    <w:rsid w:val="00122DC8"/>
    <w:rsid w:val="00163845"/>
    <w:rsid w:val="00A43A5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8278D3F"/>
  <w15:docId w15:val="{FE4377A5-3D96-4FA7-AB9C-BECA1D49F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eck-long-term-flood-risk.service.gov.uk/map"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967</Words>
  <Characters>5513</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cp:lastPrinted>2026-03-11T18:20:00Z</cp:lastPrinted>
  <dcterms:created xsi:type="dcterms:W3CDTF">2026-03-11T18:22:00Z</dcterms:created>
  <dcterms:modified xsi:type="dcterms:W3CDTF">2026-03-11T18:22:00Z</dcterms:modified>
  <dc:language>en-GB</dc:language>
</cp:coreProperties>
</file>